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775B6F" w:rsidRPr="00775B6F" w:rsidTr="00775B6F">
        <w:tc>
          <w:tcPr>
            <w:tcW w:w="4609" w:type="pct"/>
            <w:vAlign w:val="center"/>
            <w:hideMark/>
          </w:tcPr>
          <w:tbl>
            <w:tblPr>
              <w:tblW w:w="5000" w:type="pct"/>
              <w:tblCellMar>
                <w:left w:w="0" w:type="dxa"/>
                <w:right w:w="0" w:type="dxa"/>
              </w:tblCellMar>
              <w:tblLook w:val="04A0" w:firstRow="1" w:lastRow="0" w:firstColumn="1" w:lastColumn="0" w:noHBand="0" w:noVBand="1"/>
            </w:tblPr>
            <w:tblGrid>
              <w:gridCol w:w="8789"/>
              <w:gridCol w:w="283"/>
            </w:tblGrid>
            <w:tr w:rsidR="00775B6F" w:rsidRPr="00775B6F" w:rsidTr="00775B6F">
              <w:tc>
                <w:tcPr>
                  <w:tcW w:w="4844" w:type="pct"/>
                  <w:hideMark/>
                </w:tcPr>
                <w:p w:rsidR="00775B6F" w:rsidRPr="00775B6F" w:rsidRDefault="00775B6F" w:rsidP="00775B6F">
                  <w:pPr>
                    <w:spacing w:after="0" w:line="420" w:lineRule="atLeast"/>
                    <w:jc w:val="center"/>
                    <w:rPr>
                      <w:rFonts w:ascii="Arial" w:eastAsia="Times New Roman" w:hAnsi="Arial" w:cs="Arial"/>
                      <w:color w:val="707070"/>
                      <w:sz w:val="18"/>
                      <w:szCs w:val="18"/>
                      <w:lang w:eastAsia="de-DE"/>
                    </w:rPr>
                  </w:pPr>
                  <w:r w:rsidRPr="00775B6F">
                    <w:rPr>
                      <w:rFonts w:ascii="Arial" w:eastAsia="Times New Roman" w:hAnsi="Arial" w:cs="Arial"/>
                      <w:color w:val="707070"/>
                      <w:sz w:val="18"/>
                      <w:szCs w:val="18"/>
                      <w:lang w:eastAsia="de-DE"/>
                    </w:rPr>
                    <w:fldChar w:fldCharType="begin"/>
                  </w:r>
                  <w:r w:rsidRPr="00775B6F">
                    <w:rPr>
                      <w:rFonts w:ascii="Arial" w:eastAsia="Times New Roman" w:hAnsi="Arial" w:cs="Arial"/>
                      <w:color w:val="707070"/>
                      <w:sz w:val="18"/>
                      <w:szCs w:val="18"/>
                      <w:lang w:eastAsia="de-DE"/>
                    </w:rPr>
                    <w:instrText xml:space="preserve"> HYPERLINK "http://p.newslettertogo.com/o1dbqxcn-bqd5uq8i-57ksvl5i-30u" \t "_blank" </w:instrText>
                  </w:r>
                  <w:r w:rsidRPr="00775B6F">
                    <w:rPr>
                      <w:rFonts w:ascii="Arial" w:eastAsia="Times New Roman" w:hAnsi="Arial" w:cs="Arial"/>
                      <w:color w:val="707070"/>
                      <w:sz w:val="18"/>
                      <w:szCs w:val="18"/>
                      <w:lang w:eastAsia="de-DE"/>
                    </w:rPr>
                    <w:fldChar w:fldCharType="separate"/>
                  </w:r>
                  <w:r w:rsidRPr="00775B6F">
                    <w:rPr>
                      <w:rFonts w:ascii="Arial" w:eastAsia="Times New Roman" w:hAnsi="Arial" w:cs="Arial"/>
                      <w:color w:val="23ABBB"/>
                      <w:sz w:val="39"/>
                      <w:szCs w:val="39"/>
                      <w:u w:val="single"/>
                      <w:lang w:eastAsia="de-DE"/>
                    </w:rPr>
                    <w:t>Geringere Forderungsausfälle durch die Digitalisierung im Forderungsmanagement</w:t>
                  </w:r>
                  <w:r w:rsidRPr="00775B6F">
                    <w:rPr>
                      <w:rFonts w:ascii="Arial" w:eastAsia="Times New Roman" w:hAnsi="Arial" w:cs="Arial"/>
                      <w:color w:val="707070"/>
                      <w:sz w:val="18"/>
                      <w:szCs w:val="18"/>
                      <w:lang w:eastAsia="de-DE"/>
                    </w:rPr>
                    <w:fldChar w:fldCharType="end"/>
                  </w:r>
                </w:p>
              </w:tc>
              <w:tc>
                <w:tcPr>
                  <w:tcW w:w="156" w:type="pct"/>
                  <w:vAlign w:val="center"/>
                  <w:hideMark/>
                </w:tcPr>
                <w:p w:rsidR="00775B6F" w:rsidRPr="00775B6F" w:rsidRDefault="00775B6F" w:rsidP="00775B6F">
                  <w:pPr>
                    <w:spacing w:after="0" w:line="0" w:lineRule="atLeast"/>
                    <w:rPr>
                      <w:rFonts w:ascii="Times New Roman" w:eastAsia="Times New Roman" w:hAnsi="Times New Roman" w:cs="Times New Roman"/>
                      <w:sz w:val="2"/>
                      <w:szCs w:val="2"/>
                      <w:lang w:eastAsia="de-DE"/>
                    </w:rPr>
                  </w:pPr>
                  <w:r w:rsidRPr="00775B6F">
                    <w:rPr>
                      <w:rFonts w:ascii="Times New Roman" w:eastAsia="Times New Roman" w:hAnsi="Times New Roman" w:cs="Times New Roman"/>
                      <w:sz w:val="2"/>
                      <w:szCs w:val="2"/>
                      <w:lang w:eastAsia="de-DE"/>
                    </w:rPr>
                    <w:softHyphen/>
                  </w:r>
                </w:p>
              </w:tc>
            </w:tr>
          </w:tbl>
          <w:p w:rsidR="00775B6F" w:rsidRPr="00775B6F" w:rsidRDefault="00775B6F" w:rsidP="00775B6F">
            <w:pPr>
              <w:spacing w:after="0" w:line="240" w:lineRule="auto"/>
              <w:rPr>
                <w:rFonts w:ascii="Helvetica" w:eastAsia="Times New Roman" w:hAnsi="Helvetica" w:cs="Times New Roman"/>
                <w:color w:val="333333"/>
                <w:sz w:val="18"/>
                <w:szCs w:val="18"/>
                <w:lang w:eastAsia="de-DE"/>
              </w:rPr>
            </w:pPr>
          </w:p>
        </w:tc>
      </w:tr>
      <w:tr w:rsidR="00775B6F" w:rsidRPr="00775B6F" w:rsidTr="00775B6F">
        <w:tc>
          <w:tcPr>
            <w:tcW w:w="0" w:type="auto"/>
            <w:vAlign w:val="center"/>
            <w:hideMark/>
          </w:tcPr>
          <w:tbl>
            <w:tblPr>
              <w:tblW w:w="5000" w:type="pct"/>
              <w:tblCellMar>
                <w:left w:w="0" w:type="dxa"/>
                <w:right w:w="0" w:type="dxa"/>
              </w:tblCellMar>
              <w:tblLook w:val="04A0" w:firstRow="1" w:lastRow="0" w:firstColumn="1" w:lastColumn="0" w:noHBand="0" w:noVBand="1"/>
            </w:tblPr>
            <w:tblGrid>
              <w:gridCol w:w="750"/>
              <w:gridCol w:w="7572"/>
              <w:gridCol w:w="750"/>
            </w:tblGrid>
            <w:tr w:rsidR="00775B6F" w:rsidRPr="00775B6F">
              <w:trPr>
                <w:trHeight w:val="200"/>
              </w:trPr>
              <w:tc>
                <w:tcPr>
                  <w:tcW w:w="750" w:type="dxa"/>
                  <w:vAlign w:val="center"/>
                  <w:hideMark/>
                </w:tcPr>
                <w:p w:rsidR="00775B6F" w:rsidRPr="00775B6F" w:rsidRDefault="00775B6F" w:rsidP="00775B6F">
                  <w:pPr>
                    <w:spacing w:after="0" w:line="300" w:lineRule="atLeast"/>
                    <w:rPr>
                      <w:rFonts w:ascii="Times New Roman" w:eastAsia="Times New Roman" w:hAnsi="Times New Roman" w:cs="Times New Roman"/>
                      <w:sz w:val="30"/>
                      <w:szCs w:val="30"/>
                      <w:lang w:eastAsia="de-DE"/>
                    </w:rPr>
                  </w:pPr>
                  <w:r w:rsidRPr="00775B6F">
                    <w:rPr>
                      <w:rFonts w:ascii="Times New Roman" w:eastAsia="Times New Roman" w:hAnsi="Times New Roman" w:cs="Times New Roman"/>
                      <w:sz w:val="30"/>
                      <w:szCs w:val="30"/>
                      <w:lang w:eastAsia="de-DE"/>
                    </w:rPr>
                    <w:softHyphen/>
                  </w:r>
                </w:p>
              </w:tc>
              <w:tc>
                <w:tcPr>
                  <w:tcW w:w="0" w:type="auto"/>
                  <w:vAlign w:val="center"/>
                  <w:hideMark/>
                </w:tcPr>
                <w:p w:rsidR="00775B6F" w:rsidRPr="00775B6F" w:rsidRDefault="00775B6F" w:rsidP="00775B6F">
                  <w:pPr>
                    <w:spacing w:after="0" w:line="300" w:lineRule="atLeast"/>
                    <w:rPr>
                      <w:rFonts w:ascii="Times New Roman" w:eastAsia="Times New Roman" w:hAnsi="Times New Roman" w:cs="Times New Roman"/>
                      <w:sz w:val="30"/>
                      <w:szCs w:val="30"/>
                      <w:lang w:eastAsia="de-DE"/>
                    </w:rPr>
                  </w:pPr>
                  <w:r w:rsidRPr="00775B6F">
                    <w:rPr>
                      <w:rFonts w:ascii="Times New Roman" w:eastAsia="Times New Roman" w:hAnsi="Times New Roman" w:cs="Times New Roman"/>
                      <w:sz w:val="30"/>
                      <w:szCs w:val="30"/>
                      <w:lang w:eastAsia="de-DE"/>
                    </w:rPr>
                    <w:softHyphen/>
                  </w:r>
                </w:p>
              </w:tc>
              <w:tc>
                <w:tcPr>
                  <w:tcW w:w="750" w:type="dxa"/>
                  <w:vAlign w:val="center"/>
                  <w:hideMark/>
                </w:tcPr>
                <w:p w:rsidR="00775B6F" w:rsidRPr="00775B6F" w:rsidRDefault="00775B6F" w:rsidP="00775B6F">
                  <w:pPr>
                    <w:spacing w:after="0" w:line="300" w:lineRule="atLeast"/>
                    <w:rPr>
                      <w:rFonts w:ascii="Times New Roman" w:eastAsia="Times New Roman" w:hAnsi="Times New Roman" w:cs="Times New Roman"/>
                      <w:sz w:val="30"/>
                      <w:szCs w:val="30"/>
                      <w:lang w:eastAsia="de-DE"/>
                    </w:rPr>
                  </w:pPr>
                  <w:r w:rsidRPr="00775B6F">
                    <w:rPr>
                      <w:rFonts w:ascii="Times New Roman" w:eastAsia="Times New Roman" w:hAnsi="Times New Roman" w:cs="Times New Roman"/>
                      <w:sz w:val="30"/>
                      <w:szCs w:val="30"/>
                      <w:lang w:eastAsia="de-DE"/>
                    </w:rPr>
                    <w:softHyphen/>
                  </w:r>
                </w:p>
              </w:tc>
            </w:tr>
            <w:tr w:rsidR="00775B6F" w:rsidRPr="00775B6F">
              <w:tc>
                <w:tcPr>
                  <w:tcW w:w="750" w:type="dxa"/>
                  <w:vAlign w:val="center"/>
                  <w:hideMark/>
                </w:tcPr>
                <w:p w:rsidR="00775B6F" w:rsidRPr="00775B6F" w:rsidRDefault="00775B6F" w:rsidP="00775B6F">
                  <w:pPr>
                    <w:spacing w:after="0" w:line="0" w:lineRule="atLeast"/>
                    <w:rPr>
                      <w:rFonts w:ascii="Times New Roman" w:eastAsia="Times New Roman" w:hAnsi="Times New Roman" w:cs="Times New Roman"/>
                      <w:sz w:val="2"/>
                      <w:szCs w:val="2"/>
                      <w:lang w:eastAsia="de-DE"/>
                    </w:rPr>
                  </w:pPr>
                  <w:r w:rsidRPr="00775B6F">
                    <w:rPr>
                      <w:rFonts w:ascii="Times New Roman" w:eastAsia="Times New Roman" w:hAnsi="Times New Roman" w:cs="Times New Roman"/>
                      <w:sz w:val="2"/>
                      <w:szCs w:val="2"/>
                      <w:lang w:eastAsia="de-DE"/>
                    </w:rPr>
                    <w:softHyphen/>
                  </w:r>
                </w:p>
              </w:tc>
              <w:tc>
                <w:tcPr>
                  <w:tcW w:w="0" w:type="auto"/>
                  <w:hideMark/>
                </w:tcPr>
                <w:p w:rsidR="00775B6F" w:rsidRPr="00775B6F" w:rsidRDefault="00775B6F" w:rsidP="00775B6F">
                  <w:pPr>
                    <w:spacing w:after="0" w:line="240" w:lineRule="atLeast"/>
                    <w:jc w:val="both"/>
                    <w:rPr>
                      <w:rFonts w:ascii="Arial" w:eastAsia="Times New Roman" w:hAnsi="Arial" w:cs="Arial"/>
                      <w:color w:val="707070"/>
                      <w:sz w:val="18"/>
                      <w:szCs w:val="18"/>
                      <w:lang w:eastAsia="de-DE"/>
                    </w:rPr>
                  </w:pPr>
                  <w:r w:rsidRPr="00775B6F">
                    <w:rPr>
                      <w:rFonts w:ascii="Arial" w:eastAsia="Times New Roman" w:hAnsi="Arial" w:cs="Arial"/>
                      <w:color w:val="707070"/>
                      <w:sz w:val="18"/>
                      <w:szCs w:val="18"/>
                      <w:lang w:eastAsia="de-DE"/>
                    </w:rPr>
                    <w:t>Die deutschen Unternehmen bereiten sich auf ein schwierigeres wirtschaftliches Umfeld vor. Was bedeutet dieser Perspektivwechsel nach Jahren des Aufschwungs für das Forderungs- und Risikomanagement? Die Digitalisierung der Finanzbuchhaltungen ist im vollen Gange und immer neue Betrugsszenarien zeigen hier leider auch die Schwachstellen auf. All diese Fragen wollen wir mit Ihnen auf den </w:t>
                  </w:r>
                  <w:hyperlink r:id="rId4" w:tgtFrame="_blank" w:history="1">
                    <w:r w:rsidRPr="00775B6F">
                      <w:rPr>
                        <w:rFonts w:ascii="Arial" w:eastAsia="Times New Roman" w:hAnsi="Arial" w:cs="Arial"/>
                        <w:b/>
                        <w:bCs/>
                        <w:color w:val="A80A2B"/>
                        <w:sz w:val="18"/>
                        <w:szCs w:val="18"/>
                        <w:u w:val="single"/>
                        <w:lang w:eastAsia="de-DE"/>
                      </w:rPr>
                      <w:t xml:space="preserve">12. </w:t>
                    </w:r>
                    <w:proofErr w:type="spellStart"/>
                    <w:r w:rsidRPr="00775B6F">
                      <w:rPr>
                        <w:rFonts w:ascii="Arial" w:eastAsia="Times New Roman" w:hAnsi="Arial" w:cs="Arial"/>
                        <w:b/>
                        <w:bCs/>
                        <w:color w:val="A80A2B"/>
                        <w:sz w:val="18"/>
                        <w:szCs w:val="18"/>
                        <w:u w:val="single"/>
                        <w:lang w:eastAsia="de-DE"/>
                      </w:rPr>
                      <w:t>Forderungs-und</w:t>
                    </w:r>
                    <w:proofErr w:type="spellEnd"/>
                    <w:r w:rsidRPr="00775B6F">
                      <w:rPr>
                        <w:rFonts w:ascii="Arial" w:eastAsia="Times New Roman" w:hAnsi="Arial" w:cs="Arial"/>
                        <w:b/>
                        <w:bCs/>
                        <w:color w:val="A80A2B"/>
                        <w:sz w:val="18"/>
                        <w:szCs w:val="18"/>
                        <w:u w:val="single"/>
                        <w:lang w:eastAsia="de-DE"/>
                      </w:rPr>
                      <w:t xml:space="preserve"> Risikomanagement Tagen</w:t>
                    </w:r>
                  </w:hyperlink>
                  <w:r w:rsidRPr="00775B6F">
                    <w:rPr>
                      <w:rFonts w:ascii="Arial" w:eastAsia="Times New Roman" w:hAnsi="Arial" w:cs="Arial"/>
                      <w:b/>
                      <w:bCs/>
                      <w:color w:val="707070"/>
                      <w:sz w:val="18"/>
                      <w:szCs w:val="18"/>
                      <w:lang w:eastAsia="de-DE"/>
                    </w:rPr>
                    <w:t> </w:t>
                  </w:r>
                  <w:r w:rsidRPr="00775B6F">
                    <w:rPr>
                      <w:rFonts w:ascii="Arial" w:eastAsia="Times New Roman" w:hAnsi="Arial" w:cs="Arial"/>
                      <w:color w:val="707070"/>
                      <w:sz w:val="18"/>
                      <w:szCs w:val="18"/>
                      <w:lang w:eastAsia="de-DE"/>
                    </w:rPr>
                    <w:t>diskutieren.</w:t>
                  </w:r>
                  <w:r w:rsidRPr="00775B6F">
                    <w:rPr>
                      <w:rFonts w:ascii="Arial" w:eastAsia="Times New Roman" w:hAnsi="Arial" w:cs="Arial"/>
                      <w:color w:val="707070"/>
                      <w:sz w:val="18"/>
                      <w:szCs w:val="18"/>
                      <w:lang w:eastAsia="de-DE"/>
                    </w:rPr>
                    <w:br/>
                  </w:r>
                  <w:r w:rsidRPr="00775B6F">
                    <w:rPr>
                      <w:rFonts w:ascii="Arial" w:eastAsia="Times New Roman" w:hAnsi="Arial" w:cs="Arial"/>
                      <w:color w:val="707070"/>
                      <w:sz w:val="18"/>
                      <w:szCs w:val="18"/>
                      <w:lang w:eastAsia="de-DE"/>
                    </w:rPr>
                    <w:br/>
                    <w:t>Zahlreiche Praxisbeispiele (u.a. Energie Südbayern, Telefónica, Stadtwerke Altena) werden wieder aus dem Berufsalltag berichten und die Chancen und Möglichkeiten bei der Risikokontrolle oder bei den digitalen Abläufen erläutern.</w:t>
                  </w:r>
                  <w:r w:rsidRPr="00775B6F">
                    <w:rPr>
                      <w:rFonts w:ascii="Arial" w:eastAsia="Times New Roman" w:hAnsi="Arial" w:cs="Arial"/>
                      <w:color w:val="707070"/>
                      <w:sz w:val="18"/>
                      <w:szCs w:val="18"/>
                      <w:lang w:eastAsia="de-DE"/>
                    </w:rPr>
                    <w:br/>
                  </w:r>
                  <w:r w:rsidRPr="00775B6F">
                    <w:rPr>
                      <w:rFonts w:ascii="Arial" w:eastAsia="Times New Roman" w:hAnsi="Arial" w:cs="Arial"/>
                      <w:color w:val="707070"/>
                      <w:sz w:val="18"/>
                      <w:szCs w:val="18"/>
                      <w:lang w:eastAsia="de-DE"/>
                    </w:rPr>
                    <w:br/>
                    <w:t>Die</w:t>
                  </w:r>
                  <w:hyperlink r:id="rId5" w:tgtFrame="_blank" w:history="1">
                    <w:r w:rsidRPr="00775B6F">
                      <w:rPr>
                        <w:rFonts w:ascii="Arial" w:eastAsia="Times New Roman" w:hAnsi="Arial" w:cs="Arial"/>
                        <w:color w:val="A80A2B"/>
                        <w:sz w:val="18"/>
                        <w:szCs w:val="18"/>
                        <w:u w:val="single"/>
                        <w:lang w:eastAsia="de-DE"/>
                      </w:rPr>
                      <w:t> </w:t>
                    </w:r>
                    <w:r w:rsidRPr="00775B6F">
                      <w:rPr>
                        <w:rFonts w:ascii="Arial" w:eastAsia="Times New Roman" w:hAnsi="Arial" w:cs="Arial"/>
                        <w:b/>
                        <w:bCs/>
                        <w:color w:val="A80A2B"/>
                        <w:sz w:val="18"/>
                        <w:szCs w:val="18"/>
                        <w:u w:val="single"/>
                        <w:lang w:eastAsia="de-DE"/>
                      </w:rPr>
                      <w:t>Forderungs-</w:t>
                    </w:r>
                    <w:r>
                      <w:rPr>
                        <w:rFonts w:ascii="Arial" w:eastAsia="Times New Roman" w:hAnsi="Arial" w:cs="Arial"/>
                        <w:b/>
                        <w:bCs/>
                        <w:color w:val="A80A2B"/>
                        <w:sz w:val="18"/>
                        <w:szCs w:val="18"/>
                        <w:u w:val="single"/>
                        <w:lang w:eastAsia="de-DE"/>
                      </w:rPr>
                      <w:t xml:space="preserve"> </w:t>
                    </w:r>
                    <w:r w:rsidRPr="00775B6F">
                      <w:rPr>
                        <w:rFonts w:ascii="Arial" w:eastAsia="Times New Roman" w:hAnsi="Arial" w:cs="Arial"/>
                        <w:b/>
                        <w:bCs/>
                        <w:color w:val="A80A2B"/>
                        <w:sz w:val="18"/>
                        <w:szCs w:val="18"/>
                        <w:u w:val="single"/>
                        <w:lang w:eastAsia="de-DE"/>
                      </w:rPr>
                      <w:t>und Risikomanagement Tage 2020</w:t>
                    </w:r>
                  </w:hyperlink>
                  <w:r w:rsidRPr="00775B6F">
                    <w:rPr>
                      <w:rFonts w:ascii="Arial" w:eastAsia="Times New Roman" w:hAnsi="Arial" w:cs="Arial"/>
                      <w:color w:val="707070"/>
                      <w:sz w:val="18"/>
                      <w:szCs w:val="18"/>
                      <w:lang w:eastAsia="de-DE"/>
                    </w:rPr>
                    <w:t> zeigen daher, welche Möglichkeiten zur Identifikation von Risiken und zur sicheren und schnellen Realisierung Ihrer Forderungen bestehen. Erfahren Sie, wie andere Unternehmen diese Herausforderungen angehen und welche Lösungsangebote es dazu gibt. Es werden Wege gezeigt, wie die anstehenden Herausforderungen zu meistern sind und Unternehmen auch unter wirtschaftlichem Druck die Balance zwischen guten Kundenbeziehungen, vertretbaren Risiken und gleichzeitiger Digitalisierung der Finanzbuchhaltung ihre Ziele erreichen können.</w:t>
                  </w:r>
                  <w:r w:rsidRPr="00775B6F">
                    <w:rPr>
                      <w:rFonts w:ascii="Arial" w:eastAsia="Times New Roman" w:hAnsi="Arial" w:cs="Arial"/>
                      <w:color w:val="707070"/>
                      <w:sz w:val="18"/>
                      <w:szCs w:val="18"/>
                      <w:lang w:eastAsia="de-DE"/>
                    </w:rPr>
                    <w:br/>
                  </w:r>
                  <w:r w:rsidRPr="00775B6F">
                    <w:rPr>
                      <w:rFonts w:ascii="Arial" w:eastAsia="Times New Roman" w:hAnsi="Arial" w:cs="Arial"/>
                      <w:color w:val="707070"/>
                      <w:sz w:val="18"/>
                      <w:szCs w:val="18"/>
                      <w:lang w:eastAsia="de-DE"/>
                    </w:rPr>
                    <w:br/>
                    <w:t>An drei Terminen sind wir bei Ihnen vor Ort. Sie können sich an nur einem Tag über Lösungen, Strategien und die neuesten Trends im Bereich Forderungs-</w:t>
                  </w:r>
                  <w:r>
                    <w:rPr>
                      <w:rFonts w:ascii="Arial" w:eastAsia="Times New Roman" w:hAnsi="Arial" w:cs="Arial"/>
                      <w:color w:val="707070"/>
                      <w:sz w:val="18"/>
                      <w:szCs w:val="18"/>
                      <w:lang w:eastAsia="de-DE"/>
                    </w:rPr>
                    <w:t xml:space="preserve"> </w:t>
                  </w:r>
                  <w:bookmarkStart w:id="0" w:name="_GoBack"/>
                  <w:bookmarkEnd w:id="0"/>
                  <w:r w:rsidRPr="00775B6F">
                    <w:rPr>
                      <w:rFonts w:ascii="Arial" w:eastAsia="Times New Roman" w:hAnsi="Arial" w:cs="Arial"/>
                      <w:color w:val="707070"/>
                      <w:sz w:val="18"/>
                      <w:szCs w:val="18"/>
                      <w:lang w:eastAsia="de-DE"/>
                    </w:rPr>
                    <w:t>und Risikomanagement im Privatkundengeschäft informieren und mit Kollegen und Experten einen regen Austausch betreiben.</w:t>
                  </w:r>
                  <w:r w:rsidRPr="00775B6F">
                    <w:rPr>
                      <w:rFonts w:ascii="Arial" w:eastAsia="Times New Roman" w:hAnsi="Arial" w:cs="Arial"/>
                      <w:color w:val="707070"/>
                      <w:sz w:val="18"/>
                      <w:szCs w:val="18"/>
                      <w:lang w:eastAsia="de-DE"/>
                    </w:rPr>
                    <w:br/>
                  </w:r>
                  <w:r w:rsidRPr="00775B6F">
                    <w:rPr>
                      <w:rFonts w:ascii="Arial" w:eastAsia="Times New Roman" w:hAnsi="Arial" w:cs="Arial"/>
                      <w:color w:val="707070"/>
                      <w:sz w:val="18"/>
                      <w:szCs w:val="18"/>
                      <w:lang w:eastAsia="de-DE"/>
                    </w:rPr>
                    <w:br/>
                    <w:t>Nutzen Sie die Gelegenheit zum Erfahrungsaustausch!</w:t>
                  </w:r>
                </w:p>
              </w:tc>
              <w:tc>
                <w:tcPr>
                  <w:tcW w:w="0" w:type="auto"/>
                  <w:vAlign w:val="center"/>
                  <w:hideMark/>
                </w:tcPr>
                <w:p w:rsidR="00775B6F" w:rsidRPr="00775B6F" w:rsidRDefault="00775B6F" w:rsidP="00775B6F">
                  <w:pPr>
                    <w:spacing w:after="0" w:line="240" w:lineRule="auto"/>
                    <w:rPr>
                      <w:rFonts w:ascii="Times New Roman" w:eastAsia="Times New Roman" w:hAnsi="Times New Roman" w:cs="Times New Roman"/>
                      <w:szCs w:val="20"/>
                      <w:lang w:eastAsia="de-DE"/>
                    </w:rPr>
                  </w:pPr>
                </w:p>
              </w:tc>
            </w:tr>
          </w:tbl>
          <w:p w:rsidR="00775B6F" w:rsidRPr="00775B6F" w:rsidRDefault="00775B6F" w:rsidP="00775B6F">
            <w:pPr>
              <w:spacing w:after="0" w:line="240" w:lineRule="auto"/>
              <w:rPr>
                <w:rFonts w:ascii="Helvetica" w:eastAsia="Times New Roman" w:hAnsi="Helvetica" w:cs="Times New Roman"/>
                <w:color w:val="333333"/>
                <w:sz w:val="18"/>
                <w:szCs w:val="18"/>
                <w:lang w:eastAsia="de-DE"/>
              </w:rPr>
            </w:pPr>
          </w:p>
        </w:tc>
      </w:tr>
    </w:tbl>
    <w:p w:rsidR="00775B6F" w:rsidRDefault="00775B6F"/>
    <w:sectPr w:rsidR="00775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6F"/>
    <w:rsid w:val="00187C06"/>
    <w:rsid w:val="002410EF"/>
    <w:rsid w:val="00775B6F"/>
    <w:rsid w:val="00852F64"/>
    <w:rsid w:val="00A17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EA68"/>
  <w15:chartTrackingRefBased/>
  <w15:docId w15:val="{7E7E7FF9-8ADF-4DA5-A6A9-09E4B6CC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5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88045">
      <w:bodyDiv w:val="1"/>
      <w:marLeft w:val="0"/>
      <w:marRight w:val="0"/>
      <w:marTop w:val="0"/>
      <w:marBottom w:val="0"/>
      <w:divBdr>
        <w:top w:val="none" w:sz="0" w:space="0" w:color="auto"/>
        <w:left w:val="none" w:sz="0" w:space="0" w:color="auto"/>
        <w:bottom w:val="none" w:sz="0" w:space="0" w:color="auto"/>
        <w:right w:val="none" w:sz="0" w:space="0" w:color="auto"/>
      </w:divBdr>
    </w:div>
    <w:div w:id="1482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newslettertogo.com/o1dbqxcn-bqd5uq8i-b6w9ks6v-10yn" TargetMode="External"/><Relationship Id="rId4" Type="http://schemas.openxmlformats.org/officeDocument/2006/relationships/hyperlink" Target="http://p.newslettertogo.com/o1dbqxcn-bqd5uq8i-78m58wqa-a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1672</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Müller</dc:creator>
  <cp:keywords/>
  <dc:description/>
  <cp:lastModifiedBy>Rudolf Müller</cp:lastModifiedBy>
  <cp:revision>1</cp:revision>
  <dcterms:created xsi:type="dcterms:W3CDTF">2020-01-22T13:59:00Z</dcterms:created>
  <dcterms:modified xsi:type="dcterms:W3CDTF">2020-01-22T14:04:00Z</dcterms:modified>
</cp:coreProperties>
</file>